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43 vom 2. Februar 1982</w:t>
      </w:r>
    </w:p>
    <w:p>
      <w:r>
        <w:t>Bundesgericht (BGE), 1982-02-02, DE</w:t>
      </w:r>
    </w:p>
    <w:p>
      <w:r>
        <w:rPr>
          <w:b/>
        </w:rPr>
        <w:t xml:space="preserve">Quelle: </w:t>
      </w:r>
      <w:r>
        <w:t>https://mcp.opencaselaw.ch/entscheid/bge_109 IB 43</w:t>
      </w:r>
    </w:p>
    <w:p>
      <w:r>
        <w:t>FR: BGE 109 IB 43 du 2 février 1982</w:t>
      </w:r>
    </w:p>
    <w:p>
      <w:r>
        <w:t>IT: BGE 109 IB 43 del 2 febbraio 1982</w:t>
      </w:r>
    </w:p>
    <w:p>
      <w:pPr>
        <w:pStyle w:val="Heading2"/>
      </w:pPr>
      <w:r>
        <w:t>Regeste</w:t>
      </w:r>
    </w:p>
    <w:p>
      <w:r>
        <w:t>Regeste SVG - Art. 22 ff. der Verkehrsversicherungsverordnung vom 20. November 1959 (VVV). Das berufsmässige Vermieten von Motorfahrzeugen fällt nicht unter Art. 23 Abs. 1 lit. a VVV, weshalb dafür keine Kollektiv-Fahrzeugausweise in Verbindung mit Händlerschildern abgegeben werden können.</w:t>
      </w:r>
    </w:p>
    <w:p>
      <w:pPr>
        <w:pStyle w:val="Heading2"/>
      </w:pPr>
      <w:r>
        <w:t>Erwägungen</w:t>
      </w:r>
    </w:p>
    <w:p>
      <w:r>
        <w:rPr>
          <w:b/>
        </w:rPr>
        <w:t>E. 1</w:t>
      </w:r>
    </w:p>
    <w:p>
      <w:r>
        <w:t>Nach Art. 23 Abs. 1 lit. a VVV werden Kollektiv-Fahrzeugausweise nur an Personen und Unternehmungen abgegeben, die in ihrem Betriebe berufsmässig Motorfahrzeuge oder Motorfahrzeuganhänger herstellen oder damit Handel treiben oder solche Fahrzeuge zu Reparaturen, Umbau und ähnlichen Zwecken entgegennehmen. a) Die Beschwerdeführerin macht geltend, die Autovermietung falle im weitesten Sinne unter den Begriff "Handel" gemäss Art. 23 Abs. 1 lit. a VVV . Nach ihrer Auffassung bestehe kein rechtserheblicher Unterschied zwischen dem Autohandel im BGE 109 Ib 43 S. 45 eigentlichen Sinn und der Autovermietung hinsichtlich Erteilung eines Kollektiv-Fahrzeugausweises. b) Art. 23 VVV ist auf Art. 25 Abs. 2 lit. d SVG zurückzuführen, wonach der Bundesrat Vorschriften erlässt über Ausweise und Kontrollschilder, inbegriffen kurzfristig gültige für geprüfte oder nichtgeprüfte Motorfahrzeuge und Anhänger sowie für Unternehmen des Motorfahrzeuggewerbes. Zu den Unternehmen des Motorfahrzeuggewerbes gehört nach Art. 71 Abs. 2 SVG auch der Motorfahrzeughändler. Aus dieser Bestimmung geht hervor, dass nur der Handel im engeren Sinn gemeint ist und die Vermietung von Fahrzeugen nicht darunter fällt. Nach Art. 71 Abs. 2 SVG haben die Unternehmer im Motorfahrzeuggewerbe, denen Motorfahrzeuge zur Aufbewahrung, Reparatur, Wartung, zum Umbau oder zu ähnlichen Zwecken übergeben wurden, sowie die Unternehmer, die Motorfahrzeuge herstellen oder damit Handel treiben, für die Gesamtheit ihrer eigenen und der ihnen übergebenen Motorfahrzeuge eine Haftpflichtversicherung abzuschliessen. Für Vermieter von Motorfahrzeugen ist kein Grund zum Abschluss einer solchen Versicherung vorhanden, da sie entsprechend der Natur ihres Geschäftes keine Fahrzeuge von Dritten entgegennehmen. Im übrigen hätte, wie die Vorinstanz zutreffend bemerkte, der Verordnungsgeber in Art. 23 Abs. 1 lit. a VVV keine Unterscheidung zwischen den verschiedenen Unternehmen des Motorfahrzeuggewerbes treffen müssen, wenn er unter Handel jeglichen Austausch wirtschaftlicher Güter hätte verstehen wollen. Diese Unterscheidung lässt sich einzig damit erklären, dass nur die eigentlichen Fahrzeughändler im engeren Sinn von der genannten Bestimmung erfasst werden wollten. Bezeichnenderweise wird in der Lehre, soweit ersichtlich, nirgends der Vermieter von Motorfahrzeugen als Händler im Sinne von Art. 71 SVG und Art. 23 Abs. 1 lit. a VVV bezeichnet (vgl. etwa die Definition bei BERNASCONI, Die Haftung des Motorfahrzeughalters für andere Personen, Diss. Zürich 1973, S. 90). Aus dem Hinweis auf SCHLEGEL (Kommentar, 1938, N. 69 zu Art. 7 MFG), der Kommissionäre, Agenten und Vertreter erwähnte, kann die Beschwerdeführerin nichts zu ihren Gunsten ableiten. Kommissionäre, Agenten und Vertreter können nur dann Kollektiv-Fahrzeugausweise erwerben, wenn sie Handel im Sinne von Art. 23 Abs. 1 lit. a VVV betreiben, d.h. Verkaufsgeschäfte tätigen. Dass es unter der Herrschaft des MFG noch keine berufsmässige Vermietung von Wohnmobilen gab, wie BGE 109 Ib 43 S. 46 die Beschwerdeführerin behauptet, mag zutreffen. Indes war die Vermietung von Personenwagen bekannt. c) Die Auslegung der Vorinstanz entspricht auch dem Sinn und Zweck von Art. 22 ff. VVV . Nach Art. 23 Abs. 1 VVV sollen Kollektiv-Fahrzeugausweise nur an solche Unternehmen abgegeben werden, die nach der Natur ihres Betriebes mit nichtgeprüften Motorfahrzeugen fahren müssen. Dementsprechend werden diese Fahrten in Art. 24 Abs. 1 VVV an erster Stelle aufgezählt, und verlangt Art. 23 Abs. 1 lit. c VVV , dass eine im Betrieb tätige Person die nötigen fachlichen Kenntnisse und Erfahrungen zur Verwendung nichtgeprüfter Fahrzeuge besitzt. Das Motiv für die Abgabe von Kollektiv-Fahrzeugausweisen nach Art. 23 Abs. 1 VVV besteht somit in der Notwendigkeit bestimmter Unternehmen, mit nichtgeprüften Fahrzeugen fahren zu müssen. Dies trifft für Vermieter von Motorfahrzeugen aber nicht zu. Die Einsparung von Versicherungsprämien, worauf sich die Beschwerdeführerin beruft, kann nicht zur Abgabe von Kollektiv-Fahrzeugausweisen berechtigen. d) Es trifft zudem nicht zu, dass die Abgabe eines Kollektiv-Fahrzeugausweises für den Betrieb der Beschwerdeführerin unentbehrlich wäre. Für Fahrten im Zusammenhang mit Reparaturen in betriebsfremden Werkstätten und beim Kauf neuer Fahrzeuge sind die Händlerschilder der Reparaturwerkstätte bzw. des Verkäufers verwendbar. Für die übrigen noch notwendigen Fahrten ist es der Beschwerdeführerin zuzumuten, sich mit Tagesausweisen zu behelfen, wenn sie die ordentlichen Schilder hinterlegt hat.</w:t>
      </w:r>
    </w:p>
    <w:p>
      <w:r>
        <w:rPr>
          <w:b/>
        </w:rPr>
        <w:t>E. 2</w:t>
      </w:r>
    </w:p>
    <w:p>
      <w:r>
        <w:t>Würde das Unternehmen der Beschwerdeführerin keinen Handel treiben, so wäre es nach ihrer Auffassung zumindest als Betrieb im Sinne von Art. 23 Abs. 1 lit. a VVV zu qualifizieren, der Fahrzeuge zur Wartung, Reparatur, Umbau und zu anderen Zwecken entgegennehme. Dieser Auffassung kann nicht gefolgt werden, da die genannte Bestimmung sich nur auf die Entgegennahme von fremden, nicht auch von eigenen Fahrzeugen bezieht.</w:t>
      </w:r>
    </w:p>
    <w:p>
      <w:r>
        <w:rPr>
          <w:b/>
        </w:rPr>
        <w:t>E. 3</w:t>
      </w:r>
    </w:p>
    <w:p>
      <w:r>
        <w:t>Die Vorinstanz hat somit Bundesrecht nicht verletzt, wenn sie annahm, die Beschwerdeführerin treibe keinen Handel mit Motorfahrzeugen im Sinne von Art. 23 Abs. 1 lit. a VVV . Unter diesen Umständen kann die Frage offengelassen werden, ob eine im Betriebe der Beschwerdeführerin tätige Person die nötigen fachlichen Kenntnisse und Erfahrungen zur Verwendung nichtgeprüfter Fahrzeuge besitze. Die Voraussetzungen von Art. 23 Abs. 1 lit. a-d VVV müssen kumulativ erfüllt sein.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